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31D" w:rsidRDefault="00E80810">
      <w:r>
        <w:t>Oral Mines-Ponts</w:t>
      </w:r>
    </w:p>
    <w:p w:rsidR="00E80810" w:rsidRDefault="00E80810"/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b/>
          <w:bCs/>
          <w:color w:val="35497F"/>
          <w:lang w:eastAsia="fr-FR"/>
        </w:rPr>
        <w:t xml:space="preserve">LANGUES VIVANTES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b/>
          <w:bCs/>
          <w:color w:val="35497F"/>
          <w:lang w:eastAsia="fr-FR"/>
        </w:rPr>
        <w:t xml:space="preserve">7.1 Anglais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lang w:eastAsia="fr-FR"/>
        </w:rPr>
        <w:t xml:space="preserve">Les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modalités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 l’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épreuve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d’anglais sont communes à l’ensemble des langues vivantes.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b/>
          <w:bCs/>
          <w:lang w:eastAsia="fr-FR"/>
        </w:rPr>
        <w:t xml:space="preserve">Remarques liminaires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lang w:eastAsia="fr-FR"/>
        </w:rPr>
        <w:t xml:space="preserve">Il semble opportun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préciser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emblée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que cette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année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plus que les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précédentes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le jury a subi des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présentations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apprises par cœur ou ce qu’il est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communément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appele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>́ « plaquages de cours ». On peut supposer que l’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actualite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>́ de l’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année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écoulée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pouvait laisser imaginer certaines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thématiques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susceptibles de « tomber » ; on peut supposer que certains blogs, certains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préparateurs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mal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informés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aient pu laisser croire aux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préparationnaires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qu’un discours monobloc et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généralisant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sur le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trumpisme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>, sur le me-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too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movement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ou sur les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méandres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du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Brexit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suffiraient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̀ noyer les attentes du jury — cela n’est jamais le cas. Puisqu’il n’existe pas de programme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défini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(hormis une connaissance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générale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du monde anglo-saxon et de l’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actualite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>́ de l’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année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écoulée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), le jury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préfère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que le candidat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émette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hypothèses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pertinentes (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structurées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hiérarchisées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>) qui ne s’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avèrent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pas tout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̀ fait exactes : le futur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ingénieur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doit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être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capable de supposer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façon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structurée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et pertinente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plutôt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que d’apprendre par cœur des bribes civilisationnelles.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lang w:eastAsia="fr-FR"/>
        </w:rPr>
        <w:t xml:space="preserve">Un autre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écueil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récurrent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qu’il nous semble important de mettre en avant est la propension aux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résumés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trop longs (jusqu’ 8 minutes !) — sans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hiérarchisation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des informations qui plus est. Il ne s’agit pas d’un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résume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linéaire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paraphrastique et plat, mais d’une mise en relation des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éléments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du texte en soulignant ce qui est crucial (ou non), inattendu et pertinent ; il est possible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théoriquement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 faire une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synthèse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thématique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hiérarchisée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dans un ordre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différent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 celui des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idées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du texte —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même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si dans la pratique suivre la texte chronologiquement semble permettre une prise de recul suffisante. La partie «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synthèse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» que nombre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préparateurs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appellent «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résume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» s’apparente philosophiquement plus aux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épreuves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synthèse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proposées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par d’autres concours scientifiques (à l’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écrit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toutes choses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égales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par ailleurs) qu’ un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résume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>́ strict tel que proposé dans l’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épreuve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 Lettres de ce concours. (À cet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égard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il n’est pas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forcément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pertinent de commencer sa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première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année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 classe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préparatoire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en ne faisant que le «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résume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» du texte en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khôlle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; sans doute vaudrait-il mieux s’atteler directement à travailler la partie « analyse » à l’aide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mind-maps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ou autres cartes heuristiques, en variant les supports, les types de prises de notes et en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privilégiant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toute approche efficace et novatrice de brainstorming.)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lang w:eastAsia="fr-FR"/>
        </w:rPr>
        <w:t xml:space="preserve">La partie « analyse » est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systématiquement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plus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classifiante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et discriminante. Un plan peut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être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annoncé en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début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d’analyse, mais la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clarte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des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différentes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parties doit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être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limpide pendant l’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épreuve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et une fois l’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épreuve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terminée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. S’il s’agit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présenter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un plan binaire avantages/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inconvénients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ou points positifs/points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négatifs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façon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scolaire, il n’est sans doute pas utile d’y consacrer trop de temps avant l’analyse. Enfin,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très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peu de candidats savent utiliser une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réelle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problématique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la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majorite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d’entre eux se contentant de paraphraser le titre ou de paraphraser leur plan.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lang w:eastAsia="fr-FR"/>
        </w:rPr>
        <w:lastRenderedPageBreak/>
        <w:t xml:space="preserve">Comme indiqué l’an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passe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: on soulignera la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réussite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quasi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systématique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des candidats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organisés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qui rentabilisent le temps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préparation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avec des codes couleurs dans leur surlignage, n’utilisent souvent que le recto (et non le verso) de plusieurs feuilles en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espaçant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leurs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différents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éléments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 discours, s’aident de signes cabalistiques qui leur sont propres pour se rappeler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récapituler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régulièrement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leur propos,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vérifier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leur gestion du temps</w:t>
      </w:r>
      <w:bookmarkStart w:id="0" w:name="_GoBack"/>
      <w:bookmarkEnd w:id="0"/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lang w:eastAsia="fr-FR"/>
        </w:rPr>
        <w:t xml:space="preserve">imparti et tirent parti de leurs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éventuelles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cartes heuristiques (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mind-maps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). Nous rappelons que les notes manuscrites des candidats ne sont jamais prises en compte dans l’attribution de la note finale — les brouillons et le texte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étant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systématiquement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détruits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avant la fin de l’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épreuve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. Il est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autorise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et recommandé d’apporter une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énorme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horloge ou un gros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chronomètre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(pas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téléphone-réveil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pas de support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électronique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susceptible de contenir du texte).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lang w:eastAsia="fr-FR"/>
        </w:rPr>
        <w:t xml:space="preserve">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manière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générale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les candidats qui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réussissent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sont ceux qui ont pris conscience qu’il s’agit d’une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présentation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orale vivante, dynamique,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amenée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à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évoluer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en cours d’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épreuve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en fonction du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déroule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de cette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dernière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; il ne s’agit jamais de lire des notes à toute vitesse, yeux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baissés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fussent-elles excellentes. La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capacite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>́ à s’autocorriger, s’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écouter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nuancer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compléter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son propos en cours d’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épreuve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permettent d’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améliorer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sensiblement la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qualite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de ce qui avait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prépare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́. Rappelons que s’agissant d’une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épreuve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orale, le candidat a le droit de se tromper, d’oublier quelque chose, de boire une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gorgée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d’eau, de surveiller l’heure : le jury bienveillant n’exprimera aucun assentiment ni aucune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désapprobation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en cours d’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épreuve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c’est au candidat de se reprendre, de passer au point suivant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malgre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une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hésitation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ou de choisir de terminer l’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épreuve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lorsque la conclusion est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complète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.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lang w:eastAsia="fr-FR"/>
        </w:rPr>
        <w:t xml:space="preserve">Lors des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questions-réponses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qui suivent la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synthèse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et l’analyse, le jury continue de bonifier les formulations authentiques, le vocabulaire nuancé et une architecture du discours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réfléchie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organisée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. Il est donc permis de prendre son temps, il n’y a pas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forcément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 bonne ou de mauvaise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réponse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. Les questions ne visent jamais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̀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piéger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le candidat, mais à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évaluer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capacite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à prendre du recul, à mettre en œuvre une approche critique par rapport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̀ sa propre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pensée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et à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hiérarchiser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idées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lors d’une prise de parole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spontanée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. En ces sens, les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réponses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ressemblent parfois formellement aux parties de l’analyse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précédente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malgre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la dimension plus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spontanée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réponses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évidemment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.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lang w:eastAsia="fr-FR"/>
        </w:rPr>
        <w:t>Il s’agit d’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évaluer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la structuration du propos et la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qualite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linguistique du propos — trop de candidats se «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relâchent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» une fois leur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présentation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terminée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oublient toute rigueur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conjugationnelle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et lexicale et s’imaginent qu’exprimer une opinion simpliste, un simple oui ou non voire le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stupéfiant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« I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don’t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know » serait suffisant — contourner l’obstacle ne rapporte aucun bonus et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décrédibilise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le candidat. Peu importe la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difficulte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apparente de la question, il s’agit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démontrer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une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capacite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à aborder un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problème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à voix haute, en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évoquant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diverses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hypothèses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et d’en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évaluer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la pertinence en temps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réel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.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b/>
          <w:bCs/>
          <w:lang w:eastAsia="fr-FR"/>
        </w:rPr>
        <w:t>Description de l’</w:t>
      </w:r>
      <w:proofErr w:type="spellStart"/>
      <w:r w:rsidRPr="00E80810">
        <w:rPr>
          <w:rFonts w:ascii="Calibri" w:eastAsia="Times New Roman" w:hAnsi="Calibri" w:cs="Times New Roman"/>
          <w:b/>
          <w:bCs/>
          <w:lang w:eastAsia="fr-FR"/>
        </w:rPr>
        <w:t>épreuve</w:t>
      </w:r>
      <w:proofErr w:type="spellEnd"/>
      <w:r w:rsidRPr="00E80810">
        <w:rPr>
          <w:rFonts w:ascii="Calibri" w:eastAsia="Times New Roman" w:hAnsi="Calibri" w:cs="Times New Roman"/>
          <w:b/>
          <w:bCs/>
          <w:lang w:eastAsia="fr-FR"/>
        </w:rPr>
        <w:t xml:space="preserve">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lang w:eastAsia="fr-FR"/>
        </w:rPr>
        <w:t>L’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épreuve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oral d’anglais consiste en une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synthèse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et une analyse d’un document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écrit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issu de la presse anglo-saxonne de l’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année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écoulée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. La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préparation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dure 20 minutes et a lieu dans la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pièce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où est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interroge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le candidat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précédent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(des bouchons d’oreilles standards sont fournis, il est possible d’amener les siens propres – pas d’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écouteurs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). Le candidat peut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écrire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entourer, surligner le document comme il l’entend.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lang w:eastAsia="fr-FR"/>
        </w:rPr>
        <w:lastRenderedPageBreak/>
        <w:t xml:space="preserve">Le passage devant l’examinateur dure 20 minutes. La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présentation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orale du document par le candidat (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synthèse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puis analyse) dure entre 8 et 12minutes — l’examinateur devra interrompre le candidat à la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quinzième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minute sans qu’il soit possible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compléter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son propos. Ensuite une phase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questions-réponses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commence, elle porte sur le texte à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étudier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sur la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présentation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du candidat et sur la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thématique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du document. (Attention d’autres concours propose un maximum de 10 minutes au candidat, ce n’est pas le cas ici,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même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si l’on constate dans la pratique que 10 minutes suffisent souvent).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lang w:eastAsia="fr-FR"/>
        </w:rPr>
        <w:t xml:space="preserve">Lors de la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synthèse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qui dure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généralement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entre 3 et 5 minutes (!), le candidat souligne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façon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structurée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organisée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les points essentiels du texte et commence à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hiérarchiser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les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éléments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dudit article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manière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à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préparer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l’analyse,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façon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linéaire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le plus souvent,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thématique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si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nécessaire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. Sans apporter d’informations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extérieures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au texte ou le commenter, le candidat peut commencer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̀ souligner la dimension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hypothétiquement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cruciale,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évidente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paradoxale,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controversée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révolutionnaire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novatrice, anecdotique... des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éléments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mis en avant dans l’article de presse. La date de publication, le nom de l’auteur et de l’organe de presse peuvent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être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mentionnés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si ces informations sont mises en contexte et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exploitées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. La relecture du titre de l’article ou la date de publication ne sont pas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nécessaires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s’ils ne servent pas l’analyse.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même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un compte-rendu qui reprend trop de chiffres sans les analyser par la suite n’est pas pertinent (c’est la variation/l’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évolution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qui prime).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lang w:eastAsia="fr-FR"/>
        </w:rPr>
        <w:t xml:space="preserve">La transition vers l’analyse doit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être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évidente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claire tout en demeurant subtile. Nous rappelons aux candidats que s’agissant d’un concours, il n’est pas opportun que tous «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débitent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» par cœur les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mêmes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transitions apprises dans les ouvrages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préparant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au concours. On peut bien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sûr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souvent utiliser des transitions percutantes et efficaces qui se ressemblent d’un oral à l’autre — des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éléments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 liaisons entre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idées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qui donnent un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aperçu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d’une « architecture » du raisonnement — mais on ajoutera à ces phrases apprises au cours des deux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années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préparation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une coloration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spécifique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au texte et à sa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thématique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. (Ainsi, le sempiternel «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now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I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would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like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to focus on a few points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which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I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found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particularly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relevant »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récite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à la va-vite finit par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être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neutralisé puisqu’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ânonne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par les trois quarts des candidats sans ajout ni nuance). Commenter son propre commentaire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façon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nuancée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et originale peut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démontrer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un intelligence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rhétorique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supérieure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.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lang w:eastAsia="fr-FR"/>
        </w:rPr>
        <w:t xml:space="preserve">L’analyse, qui dure habituellement entre 5 et 7minutes (exceptionnellement jusqu’ 9 minutes si le texte pouvait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être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synthétise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très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rapidement, mais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suggérait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 nombreuses pistes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réflexion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), doit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être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structurée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organisée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hiérarchisée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. L’annonce d’un plan est la bienvenue (sauf si celui-ci est simpliste et binaire), mais c’est surtout la mise en avant de la structure du cheminement intellectuel en cours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présentation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qui permettra de ne jamais perdre le fil du processus argumentatif et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rhétorique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>. Ainsi, là où l’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écrit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permet de distinguer visuellement des paragraphes et des parties, l’oral doit faire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apparaître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moult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microtransitions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des pauses, des nuances... Il est possible de surligner une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idée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à l’oral par le ton, le rythme, le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débit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et surtout une prose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adaptée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anticipée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avant l’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épreuve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. La gageure pour le candidat consiste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̀ bien faire comprendre que nous abordons par exemple le petit 3.) du grand II./de son analyse sans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paraître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démesurément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scolaire... tout en devant parfois improviser tout ou partie dudit petit 3.) du grand II.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b/>
          <w:bCs/>
          <w:lang w:eastAsia="fr-FR"/>
        </w:rPr>
        <w:t xml:space="preserve">Remarques </w:t>
      </w:r>
      <w:proofErr w:type="spellStart"/>
      <w:r w:rsidRPr="00E80810">
        <w:rPr>
          <w:rFonts w:ascii="Calibri" w:eastAsia="Times New Roman" w:hAnsi="Calibri" w:cs="Times New Roman"/>
          <w:b/>
          <w:bCs/>
          <w:lang w:eastAsia="fr-FR"/>
        </w:rPr>
        <w:t>générales</w:t>
      </w:r>
      <w:proofErr w:type="spellEnd"/>
      <w:r w:rsidRPr="00E80810">
        <w:rPr>
          <w:rFonts w:ascii="Calibri" w:eastAsia="Times New Roman" w:hAnsi="Calibri" w:cs="Times New Roman"/>
          <w:b/>
          <w:bCs/>
          <w:lang w:eastAsia="fr-FR"/>
        </w:rPr>
        <w:t xml:space="preserve">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lang w:eastAsia="fr-FR"/>
        </w:rPr>
        <w:lastRenderedPageBreak/>
        <w:t xml:space="preserve">Le jury a pleinement conscience qu’il n’existe pas de programme proprement dit et n’a donc pas d’attentes en termes de connaissances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précises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aucune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érudition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n’est attendue (voire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même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possible), seule une intelligence du monde contemporain et une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compréhension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globale du monde anglo-saxon sont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évaluées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. Les candidats à qui certains sujets font peur ou qui ne pensent pas pouvoir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répondre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sont ceux qui croient qu’il s’agit d’une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khôlle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d’histoire, d’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économie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ou de science politique. Seule une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appréhension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cohérente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thématiques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anglo-saxonnes est exigible et c’est bien la langue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elle-même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qu’il s’agit d’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évaluer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.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lang w:eastAsia="fr-FR"/>
        </w:rPr>
        <w:t xml:space="preserve">Une lecture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régulière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 la presse britannique et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américaine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la pratique de la baladodiffusion (aux formats mp3 ou mp4) ainsi que la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fréquentation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assidue des plateformes de diffusion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vidéo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avec souvent la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possibilite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́ d’ajouter des sous-titres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automatisés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(«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closed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captioning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» imparfaits sur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réseaux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sociaux,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cinéma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en ligne et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actualités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multimédias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) permettent aux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étudiants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d’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accéder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à une langue authentique et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variée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, le jury note une connaissance accrue des idiosyncrasies lexicales et culturelles.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E80810">
        <w:rPr>
          <w:rFonts w:ascii="Calibri" w:eastAsia="Times New Roman" w:hAnsi="Calibri" w:cs="Times New Roman"/>
          <w:lang w:eastAsia="fr-FR"/>
        </w:rPr>
        <w:t>Même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si l’exposition à une langue authentique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améliore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la prononciation, l’intonation ou le vocabulaire adjectival et adverbial de la plupart des candidats, une pratique insuffisante du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thème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grammatical et un manque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fréquentation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des Thesaurus aboutissent parfois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̀ des formes syntaxiques et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conjugationnelles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indigentes et à des redites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rédhibitoires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notamment au niveau du lexique verbal. </w:t>
      </w:r>
    </w:p>
    <w:p w:rsidR="00E80810" w:rsidRPr="00E80810" w:rsidRDefault="00E80810" w:rsidP="00E808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80810">
        <w:rPr>
          <w:rFonts w:ascii="Calibri" w:eastAsia="Times New Roman" w:hAnsi="Calibri" w:cs="Times New Roman"/>
          <w:lang w:eastAsia="fr-FR"/>
        </w:rPr>
        <w:t xml:space="preserve">Sous forme de clin d’œil final, le jury souhaite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féliciter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les (trop) rares candidats qui savent prononcer The Guardian et ceux qui ne confondent pas l’hebdomadaire Time et les quotidiens New York/Los Angeles... Times. Il faut souligner qu’il s’agit souvent des candidats qui ne confondent pas les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dénombrables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>/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indénombrables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et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maîtrisent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les faux-amis de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façon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 plus </w:t>
      </w:r>
      <w:proofErr w:type="spellStart"/>
      <w:r w:rsidRPr="00E80810">
        <w:rPr>
          <w:rFonts w:ascii="Calibri" w:eastAsia="Times New Roman" w:hAnsi="Calibri" w:cs="Times New Roman"/>
          <w:lang w:eastAsia="fr-FR"/>
        </w:rPr>
        <w:t>assurée</w:t>
      </w:r>
      <w:proofErr w:type="spellEnd"/>
      <w:r w:rsidRPr="00E80810">
        <w:rPr>
          <w:rFonts w:ascii="Calibri" w:eastAsia="Times New Roman" w:hAnsi="Calibri" w:cs="Times New Roman"/>
          <w:lang w:eastAsia="fr-FR"/>
        </w:rPr>
        <w:t xml:space="preserve">. </w:t>
      </w:r>
    </w:p>
    <w:p w:rsidR="00E80810" w:rsidRDefault="00E80810"/>
    <w:sectPr w:rsidR="00E80810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10"/>
    <w:rsid w:val="0038531D"/>
    <w:rsid w:val="00403E04"/>
    <w:rsid w:val="00697946"/>
    <w:rsid w:val="006F647D"/>
    <w:rsid w:val="00E8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C25EA3"/>
  <w15:chartTrackingRefBased/>
  <w15:docId w15:val="{93A7DC80-0F9F-F74A-B8CF-06B040F1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8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5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7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1939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2021-05-19T10:08:00Z</dcterms:created>
  <dcterms:modified xsi:type="dcterms:W3CDTF">2021-05-19T13:23:00Z</dcterms:modified>
</cp:coreProperties>
</file>